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SimHei" w:hAnsi="SimHei" w:eastAsia="SimHei"/>
        </w:rPr>
        <w:t>ETF量化选股 v5.4 周报</w:t>
      </w:r>
    </w:p>
    <w:p>
      <w:pPr>
        <w:jc w:val="center"/>
      </w:pPr>
      <w:r>
        <w:rPr>
          <w:rFonts w:ascii="SimSun" w:hAnsi="SimSun" w:eastAsia="SimSun"/>
          <w:color w:val="666666"/>
          <w:sz w:val="18"/>
        </w:rPr>
        <w:t>生成日期: 2026-07-06 (周一)  |  数据截止: 2026-06-26  |  版本: v5.4.1 F1降权+品类禁入</w:t>
      </w:r>
    </w:p>
    <w:p/>
    <w:p>
      <w:pPr>
        <w:pStyle w:val="Heading1"/>
      </w:pPr>
      <w:r>
        <w:rPr>
          <w:rFonts w:ascii="SimHei" w:hAnsi="SimHei" w:eastAsia="SimHei"/>
        </w:rPr>
        <w:t>一、本周仓位建议与择时理由</w:t>
      </w:r>
    </w:p>
    <w:p>
      <w:r>
        <w:rPr>
          <w:rFonts w:ascii="SimSun" w:hAnsi="SimSun" w:eastAsia="SimSun"/>
          <w:sz w:val="22"/>
        </w:rPr>
        <w:t>综合仓位建议：</w:t>
      </w:r>
      <w:r>
        <w:rPr>
          <w:rFonts w:ascii="SimHei" w:hAnsi="SimHei" w:eastAsia="SimHei"/>
          <w:b/>
          <w:color w:val="C0392B"/>
          <w:sz w:val="24"/>
        </w:rPr>
        <w:t>57.2% — 半仓防御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维度(权重)</w:t>
            </w:r>
          </w:p>
        </w:tc>
        <w:tc>
          <w:tcPr>
            <w:tcW w:type="dxa" w:w="2493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得分</w:t>
            </w:r>
          </w:p>
        </w:tc>
        <w:tc>
          <w:tcPr>
            <w:tcW w:type="dxa" w:w="2493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信号</w:t>
            </w:r>
          </w:p>
        </w:tc>
        <w:tc>
          <w:tcPr>
            <w:tcW w:type="dxa" w:w="2493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指标状态</w:t>
            </w:r>
          </w:p>
        </w:tc>
      </w:tr>
      <w:tr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趋势(40%)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0.50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震荡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市场宽度:震荡(62%ETF在MA20上)；MA60趋势:震荡(距MA60+2.4%)</w:t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宏观(25%)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0.67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偏多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PMI=50.0 M2=8.6 CPI=1.2</w:t>
            </w:r>
          </w:p>
        </w:tc>
      </w:tr>
      <w:tr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情绪(20%)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0.65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中性偏多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成交额:温和(P34%)；融资变化:恐慌(环比-10.5%)</w:t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风险(15%)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0.50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中性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波动:高波动(P85%)；信用利差:极度宽松(10Y=1.82%)</w:t>
            </w:r>
          </w:p>
        </w:tc>
      </w:tr>
    </w:tbl>
    <w:p/>
    <w:p>
      <w:r>
        <w:rPr>
          <w:rFonts w:ascii="SimHei" w:hAnsi="SimHei" w:eastAsia="SimHei"/>
          <w:b/>
          <w:sz w:val="20"/>
        </w:rPr>
        <w:t>择时逻辑：</w:t>
      </w:r>
    </w:p>
    <w:p>
      <w:r>
        <w:t>① 趋势维度得分0.50：62%的ETF站上MA20但整体仅偏离MA60约2.4%，市场处于震荡格局，无明确趋势方向。② 宏观维度得分0.67：PMI位于荣枯线50.0，M2增速8.6%维持宽松，整体偏多但缺乏强驱动。③ 情绪维度0.65：成交额处于历史P34分位偏温和，但融资余额环比下降10.5%显示恐慌情绪，形成对冲。④ 风险维度0.50：波动率处于P85高分位，信用利差极度宽松形成对冲。综合结论：四维加权57.2%，建议控制在半仓附近，等待趋势信号进一步明确。</w:t>
      </w:r>
    </w:p>
    <w:p/>
    <w:p>
      <w:pPr>
        <w:pStyle w:val="Heading1"/>
      </w:pPr>
      <w:r>
        <w:rPr>
          <w:rFonts w:ascii="SimHei" w:hAnsi="SimHei" w:eastAsia="SimHei"/>
        </w:rPr>
        <w:t>二、Top12持仓列表</w:t>
      </w:r>
    </w:p>
    <w:p>
      <w:r>
        <w:rPr>
          <w:color w:val="666666"/>
          <w:sz w:val="18"/>
        </w:rPr>
        <w:t>（预测日期: 2026-06-26 | 仓位系数应用: 57.2%）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46"/>
        <w:gridCol w:w="1246"/>
        <w:gridCol w:w="1246"/>
        <w:gridCol w:w="1246"/>
        <w:gridCol w:w="1246"/>
        <w:gridCol w:w="1246"/>
        <w:gridCol w:w="1246"/>
        <w:gridCol w:w="1246"/>
      </w:tblGrid>
      <w:tr>
        <w:tc>
          <w:tcPr>
            <w:tcW w:type="dxa" w:w="1246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#</w:t>
            </w:r>
          </w:p>
        </w:tc>
        <w:tc>
          <w:tcPr>
            <w:tcW w:type="dxa" w:w="1246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代码</w:t>
            </w:r>
          </w:p>
        </w:tc>
        <w:tc>
          <w:tcPr>
            <w:tcW w:type="dxa" w:w="1246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名称</w:t>
            </w:r>
          </w:p>
        </w:tc>
        <w:tc>
          <w:tcPr>
            <w:tcW w:type="dxa" w:w="1246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1246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预测分</w:t>
            </w:r>
          </w:p>
        </w:tc>
        <w:tc>
          <w:tcPr>
            <w:tcW w:type="dxa" w:w="1246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建议权重</w:t>
            </w:r>
          </w:p>
        </w:tc>
        <w:tc>
          <w:tcPr>
            <w:tcW w:type="dxa" w:w="1246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拥挤度</w:t>
            </w:r>
          </w:p>
        </w:tc>
        <w:tc>
          <w:tcPr>
            <w:tcW w:type="dxa" w:w="1246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RSI(14)</w:t>
            </w:r>
          </w:p>
        </w:tc>
      </w:tr>
      <w:tr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516800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华宝中证智能制造ETF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智能制造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0.157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4.8%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50%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67</w:t>
            </w:r>
          </w:p>
        </w:tc>
      </w:tr>
      <w:tr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2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516330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华泰柏瑞中证物联网ETF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物联网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-0.093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4.8%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50%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59</w:t>
            </w:r>
          </w:p>
        </w:tc>
      </w:tr>
      <w:tr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3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588090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华泰柏瑞上证科创板50成份ETF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宽基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-0.321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4.8%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50%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74</w:t>
            </w:r>
          </w:p>
        </w:tc>
      </w:tr>
      <w:tr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4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588000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华夏上证科创板50成份ETF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宽基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-0.338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4.8%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50%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72</w:t>
            </w:r>
          </w:p>
        </w:tc>
      </w:tr>
      <w:tr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159819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易方达中证人工智能ETF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AI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-0.339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4.8%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50%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55</w:t>
            </w:r>
          </w:p>
        </w:tc>
      </w:tr>
      <w:tr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6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588450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招商上证科创板50成份增强策略ETF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宽基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-0.354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4.8%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50%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71</w:t>
            </w:r>
          </w:p>
        </w:tc>
      </w:tr>
      <w:tr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7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159939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广发中证全指信息技术ETF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AI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-0.840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4.8%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50%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68</w:t>
            </w:r>
          </w:p>
        </w:tc>
      </w:tr>
      <w:tr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8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159994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银华中证5G通信主题ETF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通信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-1.103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4.8%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50%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55</w:t>
            </w:r>
          </w:p>
        </w:tc>
      </w:tr>
      <w:tr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9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513880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华安日经225ETF(QDII)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海外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-1.263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4.8%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50%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60</w:t>
            </w:r>
          </w:p>
        </w:tc>
      </w:tr>
      <w:tr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10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511220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海富通上证城投债ETF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债券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-1.410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4.8%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50%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57</w:t>
            </w:r>
          </w:p>
        </w:tc>
      </w:tr>
      <w:tr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11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511010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国泰上证5年期国债ETF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债券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-1.419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4.8%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50%</w:t>
            </w:r>
          </w:p>
        </w:tc>
        <w:tc>
          <w:tcPr>
            <w:tcW w:type="dxa" w:w="1246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26</w:t>
            </w:r>
          </w:p>
        </w:tc>
      </w:tr>
      <w:tr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12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159001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易方达保证金货币A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货币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-1.470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4.8%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50%</w:t>
            </w:r>
          </w:p>
        </w:tc>
        <w:tc>
          <w:tcPr>
            <w:tcW w:type="dxa" w:w="1246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45</w:t>
            </w:r>
          </w:p>
        </w:tc>
      </w:tr>
    </w:tbl>
    <w:p>
      <w:r>
        <w:rPr>
          <w:rFonts w:ascii="SimSun" w:hAnsi="SimSun" w:eastAsia="SimSun"/>
          <w:color w:val="666666"/>
          <w:sz w:val="16"/>
        </w:rPr>
        <w:t>表1: Top12持仓明细（按预测分降序）</w:t>
      </w:r>
    </w:p>
    <w:p/>
    <w:p>
      <w:pPr>
        <w:pStyle w:val="Heading2"/>
      </w:pPr>
      <w:r>
        <w:rPr>
          <w:rFonts w:ascii="SimHei" w:hAnsi="SimHei" w:eastAsia="SimHei"/>
        </w:rPr>
        <w:t>Top12持仓结构分析</w:t>
      </w:r>
    </w:p>
    <w:p>
      <w:r>
        <w:t>• 宽基类：3只（科创50系列）占25%，集中度偏高</w:t>
        <w:br/>
        <w:t>• 科技/TMT类：4只（智能制造、物联网、AI、信息技术、5G通信）占41.7%</w:t>
        <w:br/>
        <w:t>• 海外：1只（日经225）占8.3%</w:t>
        <w:br/>
        <w:t>• 防御类/债基：3只（城投债、国债、货币）占25%</w:t>
        <w:br/>
        <w:br/>
        <w:t>⚠️ 值得关注：Top12中仅排名第1的智能制造ETF预测分为正（0.157），其余11只均为负分，说明当前市场环境下模型整体判断偏防御。债基/货币出现在Top12中反映模型正在寻找避风港。</w:t>
      </w:r>
    </w:p>
    <w:p/>
    <w:p>
      <w:pPr>
        <w:pStyle w:val="Heading1"/>
      </w:pPr>
      <w:r>
        <w:rPr>
          <w:rFonts w:ascii="SimHei" w:hAnsi="SimHei" w:eastAsia="SimHei"/>
        </w:rPr>
        <w:t>三、五种方案对比结果</w:t>
      </w:r>
    </w:p>
    <w:p>
      <w:pPr>
        <w:pStyle w:val="Heading2"/>
      </w:pPr>
      <w:r>
        <w:rPr>
          <w:rFonts w:ascii="SimHei" w:hAnsi="SimHei" w:eastAsia="SimHei"/>
        </w:rPr>
        <w:t>3.1 方案参数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方案</w:t>
            </w:r>
          </w:p>
        </w:tc>
        <w:tc>
          <w:tcPr>
            <w:tcW w:type="dxa" w:w="1662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s20≥</w:t>
            </w:r>
          </w:p>
        </w:tc>
        <w:tc>
          <w:tcPr>
            <w:tcW w:type="dxa" w:w="1662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dev20范围</w:t>
            </w:r>
          </w:p>
        </w:tc>
        <w:tc>
          <w:tcPr>
            <w:tcW w:type="dxa" w:w="1662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dev60&gt;</w:t>
            </w:r>
          </w:p>
        </w:tc>
        <w:tc>
          <w:tcPr>
            <w:tcW w:type="dxa" w:w="1662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s60≥</w:t>
            </w:r>
          </w:p>
        </w:tc>
        <w:tc>
          <w:tcPr>
            <w:tcW w:type="dxa" w:w="1662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备注</w:t>
            </w:r>
          </w:p>
        </w:tc>
      </w:tr>
      <w:tr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v4原版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-0.0005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-4%~+35%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-8%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-0.001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F1降权,禁货币债券</w:t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方案C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-0.001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-4%~+35%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-8%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-0.001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</w:r>
          </w:p>
        </w:tc>
      </w:tr>
      <w:tr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方案A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-0.001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-6%~+35%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-8%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-0.001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方案D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-0.001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-4%~+35%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-8%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-0.001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</w:r>
          </w:p>
        </w:tc>
      </w:tr>
      <w:tr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方案B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-0.002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-8%~+35%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-10%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-0.002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</w:r>
          </w:p>
        </w:tc>
      </w:tr>
    </w:tbl>
    <w:p/>
    <w:p>
      <w:pPr>
        <w:pStyle w:val="Heading2"/>
      </w:pPr>
      <w:r>
        <w:rPr>
          <w:rFonts w:ascii="SimHei" w:hAnsi="SimHei" w:eastAsia="SimHei"/>
        </w:rPr>
        <w:t>3.2 各方案通过数量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方案</w:t>
            </w:r>
          </w:p>
        </w:tc>
        <w:tc>
          <w:tcPr>
            <w:tcW w:type="dxa" w:w="2493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F1→F2→F3</w:t>
            </w:r>
          </w:p>
        </w:tc>
        <w:tc>
          <w:tcPr>
            <w:tcW w:type="dxa" w:w="2493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最终数</w:t>
            </w:r>
          </w:p>
        </w:tc>
        <w:tc>
          <w:tcPr>
            <w:tcW w:type="dxa" w:w="2493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品类分布</w:t>
            </w:r>
          </w:p>
        </w:tc>
      </w:tr>
      <w:tr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v4原版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106→33→26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26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其他:26</w:t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方案C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106→34→27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27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其他:27</w:t>
            </w:r>
          </w:p>
        </w:tc>
      </w:tr>
      <w:tr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方案A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106→35→28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28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其他:28</w:t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方案D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106→34→27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27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其他:27</w:t>
            </w:r>
          </w:p>
        </w:tc>
      </w:tr>
      <w:tr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方案B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106→37→29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29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其他:29</w:t>
            </w:r>
          </w:p>
        </w:tc>
      </w:tr>
    </w:tbl>
    <w:p>
      <w:r>
        <w:rPr>
          <w:rFonts w:ascii="SimSun" w:hAnsi="SimSun" w:eastAsia="SimSun"/>
          <w:color w:val="666666"/>
          <w:sz w:val="16"/>
        </w:rPr>
        <w:t>表2: 五方案F1→F2→F3淘汰数与最终名单数</w:t>
      </w:r>
    </w:p>
    <w:p/>
    <w:p>
      <w:pPr>
        <w:pStyle w:val="Heading2"/>
      </w:pPr>
      <w:r>
        <w:rPr>
          <w:rFonts w:ascii="SimHei" w:hAnsi="SimHei" w:eastAsia="SimHei"/>
        </w:rPr>
        <w:t>3.3 过滤流程详解</w:t>
      </w:r>
    </w:p>
    <w:p>
      <w:r>
        <w:t>起始：109只ETF → 品类禁入(剔除3只货币/债券) → 106只入选池</w:t>
        <w:br/>
        <w:t>F1(空头标记→降权)：50只被标记ma_bearish=1，s20×0.7, dev20收紧5pp, s60×0.7，但不直接剔除 → 通过106只</w:t>
        <w:br/>
        <w:t>F2(短期趋势)：slope_20≥-0.005, -4%&lt;dev20&lt;35%（调整后值），淘汰69只 → 通过37只</w:t>
        <w:br/>
        <w:t>F3(MA60确认)：dev60&gt;-8%, slope_60≥-0.03（调整后值），淘汰6只 → 通过31只</w:t>
        <w:br/>
        <w:t>F4(长期方向)：right=29只, turning=2只, left=0只 → 通过31只</w:t>
        <w:br/>
        <w:t>F5(量价)：vol_ratio&gt;0.3，0只被淘汰 → 最终≥31只</w:t>
        <w:br/>
        <w:br/>
        <w:t>其中方案B最宽松(29只)，v4原版最严格(26只)，方案A居中(28只)。五种方案的差别主要来自s20/s60阈值和dev60/20范围的容差调整。</w:t>
      </w:r>
    </w:p>
    <w:p/>
    <w:p>
      <w:pPr>
        <w:pStyle w:val="Heading1"/>
      </w:pPr>
      <w:r>
        <w:rPr>
          <w:rFonts w:ascii="SimHei" w:hAnsi="SimHei" w:eastAsia="SimHei"/>
        </w:rPr>
        <w:t>四、回测表现（v5.3仓位择时集成）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预测周期</w:t>
            </w:r>
          </w:p>
        </w:tc>
        <w:tc>
          <w:tcPr>
            <w:tcW w:type="dxa" w:w="1994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Top12周超额</w:t>
            </w:r>
          </w:p>
        </w:tc>
        <w:tc>
          <w:tcPr>
            <w:tcW w:type="dxa" w:w="1994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胜率</w:t>
            </w:r>
          </w:p>
        </w:tc>
        <w:tc>
          <w:tcPr>
            <w:tcW w:type="dxa" w:w="1994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超额Sharpe</w:t>
            </w:r>
          </w:p>
        </w:tc>
        <w:tc>
          <w:tcPr>
            <w:tcW w:type="dxa" w:w="1994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验证周数</w:t>
            </w:r>
          </w:p>
        </w:tc>
      </w:tr>
      <w:tr>
        <w:tc>
          <w:tcPr>
            <w:tcW w:type="dxa" w:w="1994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N=5d</w:t>
            </w:r>
          </w:p>
        </w:tc>
        <w:tc>
          <w:tcPr>
            <w:tcW w:type="dxa" w:w="1994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0.844%</w:t>
            </w:r>
          </w:p>
        </w:tc>
        <w:tc>
          <w:tcPr>
            <w:tcW w:type="dxa" w:w="1994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86.67%</w:t>
            </w:r>
          </w:p>
        </w:tc>
        <w:tc>
          <w:tcPr>
            <w:tcW w:type="dxa" w:w="1994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0.62</w:t>
            </w:r>
          </w:p>
        </w:tc>
        <w:tc>
          <w:tcPr>
            <w:tcW w:type="dxa" w:w="1994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30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N=10d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0.538%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66.67%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0.39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30</w:t>
            </w:r>
          </w:p>
        </w:tc>
      </w:tr>
      <w:tr>
        <w:tc>
          <w:tcPr>
            <w:tcW w:type="dxa" w:w="1994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N=20d</w:t>
            </w:r>
          </w:p>
        </w:tc>
        <w:tc>
          <w:tcPr>
            <w:tcW w:type="dxa" w:w="1994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0.647%</w:t>
            </w:r>
          </w:p>
        </w:tc>
        <w:tc>
          <w:tcPr>
            <w:tcW w:type="dxa" w:w="1994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70.00%</w:t>
            </w:r>
          </w:p>
        </w:tc>
        <w:tc>
          <w:tcPr>
            <w:tcW w:type="dxa" w:w="1994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0.43</w:t>
            </w:r>
          </w:p>
        </w:tc>
        <w:tc>
          <w:tcPr>
            <w:tcW w:type="dxa" w:w="1994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30</w:t>
            </w:r>
          </w:p>
        </w:tc>
      </w:tr>
    </w:tbl>
    <w:p>
      <w:r>
        <w:rPr>
          <w:rFonts w:ascii="SimSun" w:hAnsi="SimSun" w:eastAsia="SimSun"/>
          <w:color w:val="666666"/>
          <w:sz w:val="16"/>
        </w:rPr>
        <w:t>表3: 回测核心指标</w:t>
      </w:r>
    </w:p>
    <w:p/>
    <w:p>
      <w:pPr>
        <w:pStyle w:val="Heading2"/>
      </w:pPr>
      <w:r>
        <w:rPr>
          <w:rFonts w:ascii="SimHei" w:hAnsi="SimHei" w:eastAsia="SimHei"/>
        </w:rPr>
        <w:t>v4 vs v5.3 核心指标对比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指标</w:t>
            </w:r>
          </w:p>
        </w:tc>
        <w:tc>
          <w:tcPr>
            <w:tcW w:type="dxa" w:w="2493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v4(动量追涨)</w:t>
            </w:r>
          </w:p>
        </w:tc>
        <w:tc>
          <w:tcPr>
            <w:tcW w:type="dxa" w:w="2493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v5.3(+择时+拥挤度)</w:t>
            </w:r>
          </w:p>
        </w:tc>
        <w:tc>
          <w:tcPr>
            <w:tcW w:type="dxa" w:w="2493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变化</w:t>
            </w:r>
          </w:p>
        </w:tc>
      </w:tr>
      <w:tr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N=5d 周超额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0.240%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0.844%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+0.60%</w:t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N=5d Sharpe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0.24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0.62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+0.38</w:t>
            </w:r>
          </w:p>
        </w:tc>
      </w:tr>
      <w:tr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N=5d 胜率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60.0%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86.7%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+26.7%</w:t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N=10d 周超额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0.380%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0.538%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+0.16%</w:t>
            </w:r>
          </w:p>
        </w:tc>
      </w:tr>
      <w:tr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N=10d Sharpe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0.30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0.39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+0.09</w:t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N=10d 胜率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62.0%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66.7%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+4.7%</w:t>
            </w:r>
          </w:p>
        </w:tc>
      </w:tr>
      <w:tr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N=20d 周超额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0.420%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0.647%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+0.23%</w:t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N=20d Sharpe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0.27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0.43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+0.16</w:t>
            </w:r>
          </w:p>
        </w:tc>
      </w:tr>
      <w:tr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N=20d 胜率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61.0%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70.0%</w:t>
            </w:r>
          </w:p>
        </w:tc>
        <w:tc>
          <w:tcPr>
            <w:tcW w:type="dxa" w:w="2493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+9.0%</w:t>
            </w:r>
          </w:p>
        </w:tc>
      </w:tr>
    </w:tbl>
    <w:p>
      <w:r>
        <w:rPr>
          <w:rFonts w:ascii="SimSun" w:hAnsi="SimSun" w:eastAsia="SimSun"/>
          <w:color w:val="666666"/>
          <w:sz w:val="16"/>
        </w:rPr>
        <w:t>表4: v4 vs v5.3 全周期对比（v5.3全面优于v4）</w:t>
      </w:r>
    </w:p>
    <w:p/>
    <w:p>
      <w:pPr>
        <w:pStyle w:val="Heading1"/>
      </w:pPr>
      <w:r>
        <w:rPr>
          <w:rFonts w:ascii="SimHei" w:hAnsi="SimHei" w:eastAsia="SimHei"/>
        </w:rPr>
        <w:t>五、LLM诊断分析</w:t>
      </w:r>
    </w:p>
    <w:p>
      <w:pPr>
        <w:pStyle w:val="Heading2"/>
      </w:pPr>
      <w:r>
        <w:rPr>
          <w:rFonts w:ascii="SimHei" w:hAnsi="SimHei" w:eastAsia="SimHei"/>
        </w:rPr>
        <w:t>5.1 持仓健康度</w:t>
      </w:r>
    </w:p>
    <w:p>
      <w:r>
        <w:t>① 信号质量：Top12中仅1只（智能制造ETF 516800）预测分为正（0.157），其余11只均为负分。正分占比8.3%，属于极端偏空信号格局。这不是模型异常，而是当前市场环境下（50只ETF处于空头排列）模型确实找不到太多"上涨确定性高"的标的，于是将债基、货币等防御品种纳入Top12。</w:t>
        <w:br/>
        <w:br/>
        <w:t>② 模型一致性：v5.4相比v5.3，N=5d周超额从N/A提升到0.844%，胜率86.7%，Sharpe 0.62——说明Top12选股框架在近期表现优异。v5.4的F1降权+品类禁入改进减少了债基被纳入进攻组合的问题，但本次债基/货币仍出现在Top12，提示模型整体的风险偏好极低。</w:t>
        <w:br/>
        <w:br/>
        <w:t>③ 反弹信号：国债ETF(511010)触发RSI超卖(26)、布林下轨、近20/60日低等多个抄底信号，城投债(511220)也触及近20/60日低。逆势特征更多指向债市超卖而非权益超卖。</w:t>
      </w:r>
    </w:p>
    <w:p>
      <w:pPr>
        <w:pStyle w:val="Heading2"/>
      </w:pPr>
      <w:r>
        <w:rPr>
          <w:rFonts w:ascii="SimHei" w:hAnsi="SimHei" w:eastAsia="SimHei"/>
        </w:rPr>
        <w:t>5.2 集中度风险</w:t>
      </w:r>
    </w:p>
    <w:p>
      <w:r>
        <w:t>• 品类集中度：Top12中科技/TMT类（智能制造+物联网+AI+信息技术+5G通信）共5只占41.7%，科创50宽基3只占25%，两者合计66.7%。</w:t>
        <w:br/>
        <w:t>• 单品种集中度：科创50系列（588090/588000/588450）3只合计权重14.4%，高度重叠，存在单一指数暴露风险。</w:t>
        <w:br/>
        <w:t>• 防御端集中度：债基(511220+511010)+货币(159001)共3只占25%，但品类禁入规则应当排除它们——这提示v5.4.1的品类禁入在Top12生成环节可能未被充分应用（由于Top12从ML模型预测分排序产生，未经过F2-F5过滤流程）。</w:t>
        <w:br/>
        <w:br/>
        <w:t>⚠️ 风险等级：中高风险。建议人工审查Top12，剔除债基/货币后重新分配权重。</w:t>
      </w:r>
    </w:p>
    <w:p>
      <w:pPr>
        <w:pStyle w:val="Heading2"/>
      </w:pPr>
      <w:r>
        <w:rPr>
          <w:rFonts w:ascii="SimHei" w:hAnsi="SimHei" w:eastAsia="SimHei"/>
        </w:rPr>
        <w:t>5.3 市场适配性</w:t>
      </w:r>
    </w:p>
    <w:p>
      <w:r>
        <w:t>当前市场特征：</w:t>
        <w:br/>
        <w:t>• PMI=50.0（荣枯线），M2=8.6%（宽松），CPI=1.2%（低通胀）→ 宏观环境偏"弱复苏+宽货币"</w:t>
        <w:br/>
        <w:t>• 62%ETF站在MA20上方但仅偏离MA60 2.4% → 短期修复但中期仍纠结</w:t>
        <w:br/>
        <w:t>• 融资余额环比-10.5% → 杠杆资金恐慌撤离</w:t>
        <w:br/>
        <w:t>• 波动率P85分位 → 高波动环境</w:t>
        <w:br/>
        <w:t>• 50只ETF处于空头排列(ma_bearish=1) → 近半数标的技术面偏空</w:t>
        <w:br/>
        <w:br/>
        <w:t>适配性判断：当前环境适合"低进攻+高防御"组合。模型推荐的科创50+科技+TMT方向在弱复苏期具有结构性机会（AI/半导体国产替代），但3只债基+货币被纳入Top12反映模型过度保守。建议过滤后保留权益类前9只，将债基/货币替换为观察名单中的化工/电力标的作为卫星配置。</w:t>
      </w:r>
    </w:p>
    <w:p>
      <w:pPr>
        <w:pStyle w:val="Heading2"/>
      </w:pPr>
      <w:r>
        <w:rPr>
          <w:rFonts w:ascii="SimHei" w:hAnsi="SimHei" w:eastAsia="SimHei"/>
        </w:rPr>
        <w:t>5.4 观察名单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代码</w:t>
            </w:r>
          </w:p>
        </w:tc>
        <w:tc>
          <w:tcPr>
            <w:tcW w:type="dxa" w:w="1662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名称</w:t>
            </w:r>
          </w:p>
        </w:tc>
        <w:tc>
          <w:tcPr>
            <w:tcW w:type="dxa" w:w="1662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1662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年内涨幅</w:t>
            </w:r>
          </w:p>
        </w:tc>
        <w:tc>
          <w:tcPr>
            <w:tcW w:type="dxa" w:w="1662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回撤</w:t>
            </w:r>
          </w:p>
        </w:tc>
        <w:tc>
          <w:tcPr>
            <w:tcW w:type="dxa" w:w="1662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状态</w:t>
            </w:r>
          </w:p>
        </w:tc>
      </w:tr>
      <w:tr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516020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化工ETF华宝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化工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+3.5%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12.5%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牛回头候选</w:t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159133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化工ETF天弘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化工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+3.3%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12.9%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牛回头候选</w:t>
            </w:r>
          </w:p>
        </w:tc>
      </w:tr>
      <w:tr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516120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化工ETF富国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化工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+3.2%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12.8%</w:t>
            </w:r>
          </w:p>
        </w:tc>
        <w:tc>
          <w:tcPr>
            <w:tcW w:type="dxa" w:w="1662"/>
            <w:shd w:fill="F2F7FB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牛回头候选</w:t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159611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广发中证全指电力公用事业ETF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电力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+2.4%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18.3%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均线粘合待突破</w:t>
            </w:r>
          </w:p>
        </w:tc>
      </w:tr>
    </w:tbl>
    <w:p>
      <w:r>
        <w:rPr>
          <w:rFonts w:ascii="SimSun" w:hAnsi="SimSun" w:eastAsia="SimSun"/>
          <w:color w:val="666666"/>
          <w:sz w:val="16"/>
        </w:rPr>
        <w:t>表5: 观察名单（牛回头候选 + 均线粘合待突破）</w:t>
      </w:r>
    </w:p>
    <w:p/>
    <w:p>
      <w:pPr>
        <w:pStyle w:val="Heading1"/>
      </w:pPr>
      <w:r>
        <w:rPr>
          <w:rFonts w:ascii="SimHei" w:hAnsi="SimHei" w:eastAsia="SimHei"/>
        </w:rPr>
        <w:t>六、上周预测回顾</w:t>
      </w:r>
    </w:p>
    <w:p>
      <w:r>
        <w:t>根据 predictions_history.json，本周为首次运行（回溯标注：previous prediction not found — first run）。无上周预测数据可供评价。</w:t>
        <w:br/>
        <w:br/>
        <w:t>系统已保存本次预测(2026-06-26)的12只ETF至历史记录，下周一将自动进行上周预测vs实际表现的回测评估。</w:t>
      </w:r>
    </w:p>
    <w:p/>
    <w:p>
      <w:pPr>
        <w:pStyle w:val="Heading1"/>
      </w:pPr>
      <w:r>
        <w:rPr>
          <w:rFonts w:ascii="SimHei" w:hAnsi="SimHei" w:eastAsia="SimHei"/>
        </w:rPr>
        <w:t>七、关键数据汇总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指标</w:t>
            </w:r>
          </w:p>
        </w:tc>
        <w:tc>
          <w:tcPr>
            <w:tcW w:type="dxa" w:w="4986"/>
            <w:shd w:fill="1F4E79"/>
          </w:tcPr>
          <w:p>
            <w:pPr>
              <w:jc w:val="center"/>
            </w:pPr>
            <w:r>
              <w:rPr>
                <w:rFonts w:ascii="SimHei" w:hAnsi="SimHei" w:eastAsia="SimHei"/>
                <w:b/>
                <w:color w:val="FFFFFF"/>
                <w:sz w:val="18"/>
              </w:rPr>
            </w:r>
            <w:r>
              <w:rPr>
                <w:rFonts w:ascii="SimHei" w:hAnsi="SimHei" w:eastAsia="SimHei"/>
                <w:b/>
                <w:color w:val="FFFFFF"/>
                <w:sz w:val="18"/>
              </w:rPr>
              <w:t>数值</w:t>
            </w:r>
          </w:p>
        </w:tc>
      </w:tr>
      <w:tr>
        <w:tc>
          <w:tcPr>
            <w:tcW w:type="dxa" w:w="4986"/>
            <w:shd w:fill="F2F7FB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ETF总数</w:t>
            </w:r>
          </w:p>
        </w:tc>
        <w:tc>
          <w:tcPr>
            <w:tcW w:type="dxa" w:w="4986"/>
            <w:shd w:fill="F2F7FB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148（入选池109，品类禁入后106）</w:t>
            </w:r>
          </w:p>
        </w:tc>
      </w:tr>
      <w:tr>
        <w:tc>
          <w:tcPr>
            <w:tcW w:type="dxa" w:w="4986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F1空头标记数</w:t>
            </w:r>
          </w:p>
        </w:tc>
        <w:tc>
          <w:tcPr>
            <w:tcW w:type="dxa" w:w="4986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50只（46.2%，惩罚不剔除）</w:t>
            </w:r>
          </w:p>
        </w:tc>
      </w:tr>
      <w:tr>
        <w:tc>
          <w:tcPr>
            <w:tcW w:type="dxa" w:w="4986"/>
            <w:shd w:fill="F2F7FB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F2短期趋势淘汰</w:t>
            </w:r>
          </w:p>
        </w:tc>
        <w:tc>
          <w:tcPr>
            <w:tcW w:type="dxa" w:w="4986"/>
            <w:shd w:fill="F2F7FB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69只</w:t>
            </w:r>
          </w:p>
        </w:tc>
      </w:tr>
      <w:tr>
        <w:tc>
          <w:tcPr>
            <w:tcW w:type="dxa" w:w="4986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F3 MA60确认淘汰</w:t>
            </w:r>
          </w:p>
        </w:tc>
        <w:tc>
          <w:tcPr>
            <w:tcW w:type="dxa" w:w="4986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6只</w:t>
            </w:r>
          </w:p>
        </w:tc>
      </w:tr>
      <w:tr>
        <w:tc>
          <w:tcPr>
            <w:tcW w:type="dxa" w:w="4986"/>
            <w:shd w:fill="F2F7FB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F4长期方向通过</w:t>
            </w:r>
          </w:p>
        </w:tc>
        <w:tc>
          <w:tcPr>
            <w:tcW w:type="dxa" w:w="4986"/>
            <w:shd w:fill="F2F7FB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31只（right=29, turning=2）</w:t>
            </w:r>
          </w:p>
        </w:tc>
      </w:tr>
      <w:tr>
        <w:tc>
          <w:tcPr>
            <w:tcW w:type="dxa" w:w="4986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F5量价淘汰</w:t>
            </w:r>
          </w:p>
        </w:tc>
        <w:tc>
          <w:tcPr>
            <w:tcW w:type="dxa" w:w="4986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0只</w:t>
            </w:r>
          </w:p>
        </w:tc>
      </w:tr>
      <w:tr>
        <w:tc>
          <w:tcPr>
            <w:tcW w:type="dxa" w:w="4986"/>
            <w:shd w:fill="F2F7FB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五方案最终范围</w:t>
            </w:r>
          </w:p>
        </w:tc>
        <w:tc>
          <w:tcPr>
            <w:tcW w:type="dxa" w:w="4986"/>
            <w:shd w:fill="F2F7FB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26~29只</w:t>
            </w:r>
          </w:p>
        </w:tc>
      </w:tr>
      <w:tr>
        <w:tc>
          <w:tcPr>
            <w:tcW w:type="dxa" w:w="4986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Top12正分占比</w:t>
            </w:r>
          </w:p>
        </w:tc>
        <w:tc>
          <w:tcPr>
            <w:tcW w:type="dxa" w:w="4986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1/12 (8.3%)</w:t>
            </w:r>
          </w:p>
        </w:tc>
      </w:tr>
      <w:tr>
        <w:tc>
          <w:tcPr>
            <w:tcW w:type="dxa" w:w="4986"/>
            <w:shd w:fill="F2F7FB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Top12科技类占比</w:t>
            </w:r>
          </w:p>
        </w:tc>
        <w:tc>
          <w:tcPr>
            <w:tcW w:type="dxa" w:w="4986"/>
            <w:shd w:fill="F2F7FB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5/12 (41.7%)</w:t>
            </w:r>
          </w:p>
        </w:tc>
      </w:tr>
      <w:tr>
        <w:tc>
          <w:tcPr>
            <w:tcW w:type="dxa" w:w="4986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Top12防御类占比</w:t>
            </w:r>
          </w:p>
        </w:tc>
        <w:tc>
          <w:tcPr>
            <w:tcW w:type="dxa" w:w="4986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3/12 (25.0%)</w:t>
            </w:r>
          </w:p>
        </w:tc>
      </w:tr>
      <w:tr>
        <w:tc>
          <w:tcPr>
            <w:tcW w:type="dxa" w:w="4986"/>
            <w:shd w:fill="F2F7FB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N=5d 超额Sharpe</w:t>
            </w:r>
          </w:p>
        </w:tc>
        <w:tc>
          <w:tcPr>
            <w:tcW w:type="dxa" w:w="4986"/>
            <w:shd w:fill="F2F7FB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0.62 (胜率86.7%)</w:t>
            </w:r>
          </w:p>
        </w:tc>
      </w:tr>
      <w:tr>
        <w:tc>
          <w:tcPr>
            <w:tcW w:type="dxa" w:w="4986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仓位建议</w:t>
            </w:r>
          </w:p>
        </w:tc>
        <w:tc>
          <w:tcPr>
            <w:tcW w:type="dxa" w:w="4986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57.2% (半仓防御)</w:t>
            </w:r>
          </w:p>
        </w:tc>
      </w:tr>
      <w:tr>
        <w:tc>
          <w:tcPr>
            <w:tcW w:type="dxa" w:w="4986"/>
            <w:shd w:fill="F2F7FB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观察名单</w:t>
            </w:r>
          </w:p>
        </w:tc>
        <w:tc>
          <w:tcPr>
            <w:tcW w:type="dxa" w:w="4986"/>
            <w:shd w:fill="F2F7FB"/>
          </w:tcPr>
          <w:p>
            <w:pPr>
              <w:jc w:val="left"/>
            </w:pPr>
            <w:r>
              <w:rPr>
                <w:rFonts w:ascii="SimSun" w:hAnsi="SimSun" w:eastAsia="SimSun"/>
                <w:sz w:val="18"/>
              </w:rPr>
            </w:r>
            <w:r>
              <w:rPr>
                <w:rFonts w:ascii="SimSun" w:hAnsi="SimSun" w:eastAsia="SimSun"/>
                <w:b w:val="0"/>
                <w:sz w:val="18"/>
              </w:rPr>
              <w:t>4只（化工×3 + 电力×1）</w:t>
            </w:r>
          </w:p>
        </w:tc>
      </w:tr>
    </w:tbl>
    <w:p>
      <w:r>
        <w:rPr>
          <w:rFonts w:ascii="SimSun" w:hAnsi="SimSun" w:eastAsia="SimSun"/>
          <w:color w:val="666666"/>
          <w:sz w:val="16"/>
        </w:rPr>
        <w:t>表6: 关键数据汇总</w:t>
      </w:r>
    </w:p>
    <w:p/>
    <w:p>
      <w:r>
        <w:br w:type="page"/>
      </w:r>
    </w:p>
    <w:p>
      <w:pPr>
        <w:pStyle w:val="Heading1"/>
      </w:pPr>
      <w:r>
        <w:rPr>
          <w:rFonts w:ascii="SimHei" w:hAnsi="SimHei" w:eastAsia="SimHei"/>
        </w:rPr>
        <w:t>内容总结</w:t>
      </w:r>
    </w:p>
    <w:p>
      <w:r>
        <w:rPr>
          <w:rFonts w:ascii="SimHei" w:hAnsi="SimHei" w:eastAsia="SimHei"/>
          <w:b/>
          <w:sz w:val="24"/>
        </w:rPr>
        <w:t>核心结论</w:t>
      </w:r>
    </w:p>
    <w:p>
      <w:r>
        <w:t>本周ETF量化选股v5.4.1模型运行结果显示，当前A股市场处于震荡偏弱格局。50只ETF（占比46.2%）处于空头排列状态，62%站上MA20但整体仅偏离MA60约2.4%，市场缺乏明确方向，宏观面PMI=50.0荣枯线持平、融资余额环比大幅下降10.5%显示恐慌情绪。综合四维仓位择时模型给出57.2%的半仓防御建议。Top12中仅智能制造ETF（516800）预测分为正，其余11只均为负分，模型整体风险偏好极低，值得关注的是债基和货币基金被纳入Top12——这提示v5.4.1的品类禁入规则在Top12生成环节需要进一步强化。五种方案对比显示，过滤参数从严格到宽松（v4原版26只→方案B 29只），差异主要来自F2/F3阈值调整，最终均无业绩面★★★双强标的——这反映了当前缺乏技术面+基本面共振的机会。回测方面，v5.3+v5.4相比v4在各周期均有显著提升，N=5d超额Sharpe从0.24提升至0.62，胜率从60%提升至86.7%，进步明显。建议关注观察名单中的化工/电力方向作为潜在的卫星配置机会。</w:t>
      </w:r>
    </w:p>
    <w:p/>
    <w:p>
      <w:r>
        <w:rPr>
          <w:rFonts w:ascii="SimHei" w:hAnsi="SimHei" w:eastAsia="SimHei"/>
          <w:b/>
          <w:sz w:val="24"/>
        </w:rPr>
        <w:t>各方案关键数字一览</w:t>
      </w:r>
    </w:p>
    <w:p>
      <w:r>
        <w:t>v4原版：F1=106→F2=33→F3=26，最终26只，品类全为"其他"。</w:t>
        <w:br/>
        <w:t>方案C：F1=106→F2=34→F3=27，最终27只，品类全为"其他"。</w:t>
        <w:br/>
        <w:t>方案A：F1=106→F2=35→F3=28，最终28只，品类全为"其他"。</w:t>
        <w:br/>
        <w:t>方案D：F1=106→F2=34→F3=27，最终27只，品类全为"其他"。</w:t>
        <w:br/>
        <w:t>方案B：F1=106→F2=37→F3=29，最终29只，品类全为"其他"。</w:t>
        <w:br/>
        <w:t>五方案回测：N=5d超额Sharpe 0.62(胜率86.7%) | N=10d Sharpe 0.39(胜率66.7%) | N=20d Sharpe 0.43(胜率70.0%)。</w:t>
        <w:br/>
        <w:t>仓位择时：趋势0.50 + 宏观0.67 + 情绪0.65 + 风险0.50 = 综合57.2%。</w:t>
      </w:r>
    </w:p>
    <w:p/>
    <w:p>
      <w:r>
        <w:rPr>
          <w:rFonts w:ascii="SimHei" w:hAnsi="SimHei" w:eastAsia="SimHei"/>
          <w:b/>
          <w:sz w:val="24"/>
        </w:rPr>
        <w:t>最值得关注的变化</w:t>
      </w:r>
    </w:p>
    <w:p>
      <w:r>
        <w:t>第一，v5.4.1的F1降权+品类禁入改进正式上线，将货币/债券从进攻组合中硬排除，同时将空头排列的50只ETF从直接剔除改为惩罚降权（s20×0.7），保留了更多选择空间。但本次运行中债基和货币仍出现在Top12，说明品类禁入规则需要从Top12生成环节端到端生效。</w:t>
        <w:br/>
        <w:br/>
        <w:t>第二，融资余额环比-10.5%的恐慌信号是近期最值得警惕的指标——历史上类似幅度的融资撤离往往伴随阶段性底部或恐慌性下杀，需密切跟踪下周融资变化方向。</w:t>
        <w:br/>
        <w:br/>
        <w:t>第三，逆势特征贡献度分析显示rsi_14是唯一被模型采纳的逆向信号（N=5d贡献0.41%），而布林下轨、超卖、恐慌抛售等特征均未被有效利用（贡献为0），提示逆势特征工程还有优化空间。</w:t>
        <w:br/>
        <w:br/>
        <w:t>第四，五方案均无"业绩面★★★"标的——这在仅剩一个月到半年报密集披露期的背景下值得关注，可能是技术面选出的标的恰好错过了利润增长最强的方向（半导体/通信/化工）。建议8月底半年报后重新交叉验证。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imSun" w:hAnsi="SimSun" w:eastAsia="SimSu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