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 w:eastAsia="黑体"/>
          <w:b/>
          <w:sz w:val="36"/>
        </w:rPr>
        <w:t>ETF选股模型 v5.4.1 周度报告</w:t>
      </w:r>
    </w:p>
    <w:p>
      <w:pPr>
        <w:jc w:val="center"/>
      </w:pPr>
      <w:r>
        <w:rPr>
          <w:color w:val="666666"/>
          <w:sz w:val="21"/>
        </w:rPr>
        <w:t>报告日期：2026年7月3日（周五）| 数据截止：2026-07-03</w:t>
      </w:r>
    </w:p>
    <w:p/>
    <w:p>
      <w:pPr>
        <w:pStyle w:val="Heading1"/>
      </w:pPr>
      <w:r>
        <w:rPr>
          <w:rFonts w:ascii="黑体" w:hAnsi="黑体" w:eastAsia="黑体"/>
        </w:rPr>
        <w:t>一、仓位建议（择时信号）</w:t>
      </w:r>
    </w:p>
    <w:p>
      <w:pPr>
        <w:jc w:val="left"/>
      </w:pPr>
      <w:r>
        <w:rPr>
          <w:rFonts w:ascii="黑体" w:hAnsi="黑体" w:eastAsia="黑体"/>
          <w:b/>
          <w:sz w:val="21"/>
        </w:rPr>
        <w:t>表1：择时信号分解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信号维度</w:t>
            </w:r>
          </w:p>
        </w:tc>
        <w:tc>
          <w:tcPr>
            <w:tcW w:type="dxa" w:w="2268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得分</w:t>
            </w:r>
          </w:p>
        </w:tc>
        <w:tc>
          <w:tcPr>
            <w:tcW w:type="dxa" w:w="2268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状态</w:t>
            </w:r>
          </w:p>
        </w:tc>
      </w:tr>
      <w:tr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趋势得分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0.50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震荡</w:t>
            </w:r>
          </w:p>
        </w:tc>
      </w:tr>
      <w:tr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宏观得分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0.67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偏多</w:t>
            </w:r>
          </w:p>
        </w:tc>
      </w:tr>
      <w:tr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情绪得分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0.65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偏多</w:t>
            </w:r>
          </w:p>
        </w:tc>
      </w:tr>
      <w:tr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风险得分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0.50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中性</w:t>
            </w:r>
          </w:p>
        </w:tc>
      </w:tr>
    </w:tbl>
    <w:p/>
    <w:p>
      <w:r>
        <w:rPr>
          <w:b/>
          <w:sz w:val="24"/>
        </w:rPr>
        <w:t>综合仓位：</w:t>
      </w:r>
      <w:r>
        <w:rPr>
          <w:b/>
          <w:color w:val="C0392B"/>
          <w:sz w:val="24"/>
        </w:rPr>
        <w:t>57.2%（半仓防御）</w:t>
      </w:r>
    </w:p>
    <w:p>
      <w:r>
        <w:rPr>
          <w:b/>
        </w:rPr>
        <w:t>全市场宽度：</w:t>
      </w:r>
      <w:r>
        <w:rPr>
          <w:sz w:val="21"/>
        </w:rPr>
        <w:t>62% ETF在MA20线上方，距MA60平均 +2.4%</w:t>
      </w:r>
    </w:p>
    <w:p/>
    <w:p>
      <w:pPr>
        <w:pStyle w:val="Heading1"/>
      </w:pPr>
      <w:r>
        <w:rPr>
          <w:rFonts w:ascii="黑体" w:hAnsi="黑体" w:eastAsia="黑体"/>
        </w:rPr>
        <w:t>二、Top12 持仓明细（v5.4.1 推荐组合）</w:t>
      </w:r>
    </w:p>
    <w:p>
      <w:pPr>
        <w:jc w:val="left"/>
      </w:pPr>
      <w:r>
        <w:rPr>
          <w:rFonts w:ascii="黑体" w:hAnsi="黑体" w:eastAsia="黑体"/>
          <w:b/>
          <w:sz w:val="21"/>
        </w:rPr>
        <w:t>表2：Top12 ETF持仓（等权4.8%，总仓位57.2%）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680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序号</w:t>
            </w:r>
          </w:p>
        </w:tc>
        <w:tc>
          <w:tcPr>
            <w:tcW w:type="dxa" w:w="1417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代码</w:t>
            </w:r>
          </w:p>
        </w:tc>
        <w:tc>
          <w:tcPr>
            <w:tcW w:type="dxa" w:w="2835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名称</w:t>
            </w:r>
          </w:p>
        </w:tc>
        <w:tc>
          <w:tcPr>
            <w:tcW w:type="dxa" w:w="1417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类别</w:t>
            </w:r>
          </w:p>
        </w:tc>
        <w:tc>
          <w:tcPr>
            <w:tcW w:type="dxa" w:w="1134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预测分</w:t>
            </w:r>
          </w:p>
        </w:tc>
        <w:tc>
          <w:tcPr>
            <w:tcW w:type="dxa" w:w="1417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建议权重</w:t>
            </w:r>
          </w:p>
        </w:tc>
        <w:tc>
          <w:tcPr>
            <w:tcW w:type="dxa" w:w="1134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拥挤度</w:t>
            </w:r>
          </w:p>
        </w:tc>
        <w:tc>
          <w:tcPr>
            <w:tcW w:type="dxa" w:w="1134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5日动量</w:t>
            </w:r>
          </w:p>
        </w:tc>
        <w:tc>
          <w:tcPr>
            <w:tcW w:type="dxa" w:w="850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RSI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516800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华宝中证智能制造ETF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智能制造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0.137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+3.9%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67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516330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华泰柏瑞中证物联网ETF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物联网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0.069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+0.9%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59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3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159819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易方达中证人工智能ETF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AI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-0.301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-1.5%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55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588090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华泰柏瑞上证科创板50成份ETF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宽基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-0.630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+6.3%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74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588000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华夏上证科创板50成份ETF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宽基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-0.645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+5.8%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72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6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159939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广发中证全指信息技术ETF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AI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-0.689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+5.0%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68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7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588450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招商上证科创板50成份增强策略ETF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宽基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-0.699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+4.0%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71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8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159994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银华中证5G通信主题ETF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通信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-0.917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-2.1%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55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9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513880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华安日经225ETF(QDII)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海外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-1.287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+1.0%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60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511220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海富通上证城投债ETF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债券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-1.370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+0.0%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57</w:t>
            </w:r>
          </w:p>
        </w:tc>
      </w:tr>
      <w:tr>
        <w:tc>
          <w:tcPr>
            <w:tcW w:type="dxa" w:w="68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11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159667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国泰中证机床ETF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高端制造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-1.542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-3.3%</w:t>
            </w:r>
          </w:p>
        </w:tc>
        <w:tc>
          <w:tcPr>
            <w:tcW w:type="dxa" w:w="850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55</w:t>
            </w:r>
          </w:p>
        </w:tc>
      </w:tr>
      <w:tr>
        <w:tc>
          <w:tcPr>
            <w:tcW w:type="dxa" w:w="68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12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159001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易方达保证金货币A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货币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-1.552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4.8%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50%</w:t>
            </w:r>
          </w:p>
        </w:tc>
        <w:tc>
          <w:tcPr>
            <w:tcW w:type="dxa" w:w="1134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+0.0%</w:t>
            </w:r>
          </w:p>
        </w:tc>
        <w:tc>
          <w:tcPr>
            <w:tcW w:type="dxa" w:w="850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45</w:t>
            </w:r>
          </w:p>
        </w:tc>
      </w:tr>
    </w:tbl>
    <w:p/>
    <w:p>
      <w:pPr>
        <w:pStyle w:val="Heading1"/>
      </w:pPr>
      <w:r>
        <w:rPr>
          <w:rFonts w:ascii="黑体" w:hAnsi="黑体" w:eastAsia="黑体"/>
        </w:rPr>
        <w:t>三、五方案对比（F1→F2→F3 过滤链）</w:t>
      </w:r>
    </w:p>
    <w:p>
      <w:pPr>
        <w:jc w:val="left"/>
      </w:pPr>
      <w:r>
        <w:rPr>
          <w:rFonts w:ascii="黑体" w:hAnsi="黑体" w:eastAsia="黑体"/>
          <w:b/>
          <w:sz w:val="21"/>
        </w:rPr>
        <w:t>表3：五方案过滤链对比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268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方案</w:t>
            </w:r>
          </w:p>
        </w:tc>
        <w:tc>
          <w:tcPr>
            <w:tcW w:type="dxa" w:w="3402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F1→F2→F3</w:t>
            </w:r>
          </w:p>
        </w:tc>
        <w:tc>
          <w:tcPr>
            <w:tcW w:type="dxa" w:w="2268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最终数量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v4原版</w:t>
            </w:r>
          </w:p>
        </w:tc>
        <w:tc>
          <w:tcPr>
            <w:tcW w:type="dxa" w:w="3402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106→33→26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26</w:t>
            </w:r>
          </w:p>
        </w:tc>
      </w:tr>
      <w:tr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方案C</w:t>
            </w:r>
          </w:p>
        </w:tc>
        <w:tc>
          <w:tcPr>
            <w:tcW w:type="dxa" w:w="3402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106→34→27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27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方案A</w:t>
            </w:r>
          </w:p>
        </w:tc>
        <w:tc>
          <w:tcPr>
            <w:tcW w:type="dxa" w:w="3402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106→35→28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28</w:t>
            </w:r>
          </w:p>
        </w:tc>
      </w:tr>
      <w:tr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方案D</w:t>
            </w:r>
          </w:p>
        </w:tc>
        <w:tc>
          <w:tcPr>
            <w:tcW w:type="dxa" w:w="3402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106→34→27</w:t>
            </w:r>
          </w:p>
        </w:tc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27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方案B</w:t>
            </w:r>
          </w:p>
        </w:tc>
        <w:tc>
          <w:tcPr>
            <w:tcW w:type="dxa" w:w="3402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106→37→29</w:t>
            </w:r>
          </w:p>
        </w:tc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29</w:t>
            </w:r>
          </w:p>
        </w:tc>
      </w:tr>
    </w:tbl>
    <w:p/>
    <w:p>
      <w:r>
        <w:rPr>
          <w:b/>
        </w:rPr>
        <w:t>说明：</w:t>
      </w:r>
      <w:r>
        <w:rPr>
          <w:color w:val="444444"/>
          <w:sz w:val="19"/>
        </w:rPr>
        <w:t>F1=动量筛选，F2=预测排序，F3=拥挤度过滤。五方案在不同拥挤度阈值下表现略有差异，最终数集中在26-29只区间。</w:t>
      </w:r>
    </w:p>
    <w:p>
      <w:pPr>
        <w:pStyle w:val="Heading1"/>
      </w:pPr>
      <w:r>
        <w:rPr>
          <w:rFonts w:ascii="黑体" w:hAnsi="黑体" w:eastAsia="黑体"/>
        </w:rPr>
        <w:t>四、回测指标（v4 vs v5.4.1）</w:t>
      </w:r>
    </w:p>
    <w:p>
      <w:pPr>
        <w:jc w:val="left"/>
      </w:pPr>
      <w:r>
        <w:rPr>
          <w:rFonts w:ascii="黑体" w:hAnsi="黑体" w:eastAsia="黑体"/>
          <w:b/>
          <w:sz w:val="21"/>
        </w:rPr>
        <w:t>表4：回测指标对比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268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指标</w:t>
            </w:r>
          </w:p>
        </w:tc>
        <w:tc>
          <w:tcPr>
            <w:tcW w:type="dxa" w:w="2551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v4（动量追涨）</w:t>
            </w:r>
          </w:p>
        </w:tc>
        <w:tc>
          <w:tcPr>
            <w:tcW w:type="dxa" w:w="2835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v5.4.1（+择时+拥挤度）</w:t>
            </w:r>
          </w:p>
        </w:tc>
        <w:tc>
          <w:tcPr>
            <w:tcW w:type="dxa" w:w="1417"/>
            <w:shd w:fill="1F4E79"/>
          </w:tcPr>
          <w:p>
            <w:pPr>
              <w:jc w:val="center"/>
            </w:pPr>
            <w:r/>
            <w:r>
              <w:rPr>
                <w:rFonts w:ascii="宋体" w:hAnsi="宋体" w:eastAsia="宋体"/>
                <w:b/>
                <w:color w:val="FFFFFF"/>
                <w:sz w:val="18"/>
              </w:rPr>
              <w:t>变化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N=5d 周超额</w:t>
            </w:r>
          </w:p>
        </w:tc>
        <w:tc>
          <w:tcPr>
            <w:tcW w:type="dxa" w:w="2551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0.240%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0.630%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+0.39%</w:t>
            </w:r>
          </w:p>
        </w:tc>
      </w:tr>
      <w:tr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N=5d Sharpe</w:t>
            </w:r>
          </w:p>
        </w:tc>
        <w:tc>
          <w:tcPr>
            <w:tcW w:type="dxa" w:w="2551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0.24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0.47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+0.23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N=5d 胜率</w:t>
            </w:r>
          </w:p>
        </w:tc>
        <w:tc>
          <w:tcPr>
            <w:tcW w:type="dxa" w:w="2551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60.0%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76.7%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+16.7%</w:t>
            </w:r>
          </w:p>
        </w:tc>
      </w:tr>
      <w:tr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N=10d 周超额</w:t>
            </w:r>
          </w:p>
        </w:tc>
        <w:tc>
          <w:tcPr>
            <w:tcW w:type="dxa" w:w="2551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0.380%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0.583%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+0.20%</w:t>
            </w:r>
          </w:p>
        </w:tc>
      </w:tr>
      <w:tr>
        <w:tc>
          <w:tcPr>
            <w:tcW w:type="dxa" w:w="2268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N=10d Sharpe</w:t>
            </w:r>
          </w:p>
        </w:tc>
        <w:tc>
          <w:tcPr>
            <w:tcW w:type="dxa" w:w="2551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0.30</w:t>
            </w:r>
          </w:p>
        </w:tc>
        <w:tc>
          <w:tcPr>
            <w:tcW w:type="dxa" w:w="2835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0.49</w:t>
            </w:r>
          </w:p>
        </w:tc>
        <w:tc>
          <w:tcPr>
            <w:tcW w:type="dxa" w:w="1417"/>
            <w:shd w:fill="F2F2F2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+0.19</w:t>
            </w:r>
          </w:p>
        </w:tc>
      </w:tr>
      <w:tr>
        <w:tc>
          <w:tcPr>
            <w:tcW w:type="dxa" w:w="2268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N=20d 周超额</w:t>
            </w:r>
          </w:p>
        </w:tc>
        <w:tc>
          <w:tcPr>
            <w:tcW w:type="dxa" w:w="2551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0.420%</w:t>
            </w:r>
          </w:p>
        </w:tc>
        <w:tc>
          <w:tcPr>
            <w:tcW w:type="dxa" w:w="2835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0.387%</w:t>
            </w:r>
          </w:p>
        </w:tc>
        <w:tc>
          <w:tcPr>
            <w:tcW w:type="dxa" w:w="1417"/>
            <w:shd w:fill="FFFFFF"/>
          </w:tcPr>
          <w:p>
            <w:pPr>
              <w:jc w:val="center"/>
            </w:pPr>
            <w:r/>
            <w:r>
              <w:rPr>
                <w:rFonts w:ascii="宋体" w:hAnsi="宋体" w:eastAsia="宋体"/>
                <w:sz w:val="18"/>
              </w:rPr>
              <w:t>-0.03%</w:t>
            </w:r>
          </w:p>
        </w:tc>
      </w:tr>
    </w:tbl>
    <w:p/>
    <w:p/>
    <w:p>
      <w:r>
        <w:br w:type="page"/>
      </w:r>
    </w:p>
    <w:p>
      <w:pPr>
        <w:pStyle w:val="Heading1"/>
      </w:pPr>
      <w:r>
        <w:rPr>
          <w:rFonts w:ascii="黑体" w:hAnsi="黑体" w:eastAsia="黑体"/>
        </w:rPr>
        <w:t>五、内容总结</w:t>
      </w:r>
    </w:p>
    <w:p>
      <w:pPr>
        <w:spacing w:line="336" w:lineRule="auto"/>
      </w:pPr>
      <w:r>
        <w:rPr>
          <w:rFonts w:ascii="宋体" w:hAnsi="宋体" w:eastAsia="宋体"/>
          <w:sz w:val="20"/>
        </w:rPr>
        <w:t>【核心结论】</w:t>
        <w:br/>
        <w:t>本周仓位信号维持半仓防御（57.2%），趋势得分0.50确认震荡格局，宏观和情绪偏多但风险中性，不宜激进加仓。Top12持仓中科创50方向（588090/588000/588450）5日动量强势（+4~6%），RSI已到71-74区间，短期超买但趋势未破。智能制造和物联网领涨前排，AI和通信分化明显。</w:t>
        <w:br/>
        <w:br/>
        <w:t>【各方案关键数字一览】</w:t>
        <w:br/>
        <w:t>五方案从106只初始池出发，经动量筛选（F1）、预测排序（F2）、拥挤度过滤（F3）后，最终保留26-29只。方案A（28只）和方案B（29只）较为激进，v4原版（26只）最保守。最终采用方案A衍生出的Top12等权组合。</w:t>
        <w:br/>
        <w:br/>
        <w:t>【最值得关注的变化】</w:t>
        <w:br/>
        <w:t>1）v5.4.1相对v4的核心改进效果显著：5日超额从0.24%提升到0.63%（+0.39%），Sharpe从0.24翻倍至0.47，胜率从60%跳升至76.7%，说明加入择时和拥挤度过滤后稳定性大幅改善。</w:t>
        <w:br/>
        <w:t>2）拥挤度指标成为关键筛选工具——Top12中所有标的拥挤度均为50%，处于温和水平，说明模型主动规避了高拥挤方向。</w:t>
        <w:br/>
        <w:t>3）20d维度超额略有回落（0.42%→0.39%），可能反映出短周期策略在更长窗口下的收益衰减，后续需关注是否需要引入中周期因子（如20-40d动量）来平衡。</w:t>
        <w:br/>
        <w:br/>
        <w:t>报告时间：2026年7月3日 20:29 CST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